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B1EA0">
      <w:pPr>
        <w:pStyle w:val="Header"/>
        <w:jc w:val="right"/>
        <w:divId w:val="1634403926"/>
      </w:pPr>
    </w:p>
    <w:p w:rsidR="00000000" w:rsidRPr="00631EE1" w:rsidRDefault="00AB1EA0" w:rsidP="00631EE1">
      <w:pPr>
        <w:pStyle w:val="Title"/>
        <w:bidi/>
        <w:jc w:val="center"/>
        <w:rPr>
          <w:rStyle w:val="Strong"/>
          <w:rFonts w:cs="David" w:hint="cs"/>
          <w:sz w:val="24"/>
          <w:szCs w:val="24"/>
          <w:rtl/>
        </w:rPr>
      </w:pPr>
      <w:bookmarkStart w:id="0" w:name="_GoBack"/>
      <w:r w:rsidRPr="00631EE1">
        <w:rPr>
          <w:rStyle w:val="Strong"/>
          <w:rFonts w:cs="David" w:hint="cs"/>
          <w:sz w:val="24"/>
          <w:szCs w:val="24"/>
          <w:rtl/>
        </w:rPr>
        <w:t>הודעה על ביטול הכרזה בדבר קיום מונופולין</w:t>
      </w:r>
    </w:p>
    <w:p w:rsidR="00000000" w:rsidRPr="00631EE1" w:rsidRDefault="00AB1EA0" w:rsidP="00631EE1">
      <w:pPr>
        <w:pStyle w:val="Title"/>
        <w:bidi/>
        <w:jc w:val="center"/>
        <w:rPr>
          <w:rStyle w:val="Strong"/>
          <w:rFonts w:cs="David" w:hint="cs"/>
          <w:sz w:val="24"/>
          <w:szCs w:val="24"/>
          <w:u w:val="single"/>
          <w:rtl/>
        </w:rPr>
      </w:pPr>
      <w:r w:rsidRPr="00631EE1">
        <w:rPr>
          <w:rStyle w:val="Strong"/>
          <w:rFonts w:cs="David" w:hint="cs"/>
          <w:sz w:val="24"/>
          <w:szCs w:val="24"/>
          <w:u w:val="single"/>
          <w:rtl/>
        </w:rPr>
        <w:t xml:space="preserve">לפי חוק ההגבלים העסקיים, </w:t>
      </w:r>
      <w:proofErr w:type="spellStart"/>
      <w:r w:rsidRPr="00631EE1">
        <w:rPr>
          <w:rStyle w:val="Strong"/>
          <w:rFonts w:cs="David" w:hint="cs"/>
          <w:sz w:val="24"/>
          <w:szCs w:val="24"/>
          <w:u w:val="single"/>
          <w:rtl/>
        </w:rPr>
        <w:t>התשמ"ח</w:t>
      </w:r>
      <w:proofErr w:type="spellEnd"/>
      <w:r w:rsidRPr="00631EE1">
        <w:rPr>
          <w:rStyle w:val="Strong"/>
          <w:rFonts w:cs="David" w:hint="cs"/>
          <w:sz w:val="24"/>
          <w:szCs w:val="24"/>
          <w:u w:val="single"/>
          <w:rtl/>
        </w:rPr>
        <w:t>–1988</w:t>
      </w:r>
    </w:p>
    <w:bookmarkEnd w:id="0"/>
    <w:p w:rsidR="00000000" w:rsidRDefault="00AB1EA0">
      <w:pPr>
        <w:overflowPunct w:val="0"/>
        <w:bidi/>
        <w:adjustRightInd w:val="0"/>
        <w:textAlignment w:val="baseline"/>
        <w:rPr>
          <w:rFonts w:hint="cs"/>
          <w:rtl/>
        </w:rPr>
      </w:pP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בתוקף סמכותי לפי סעיף 26(א) לחוק ההגבלים העסקיים, </w:t>
      </w:r>
      <w:proofErr w:type="spellStart"/>
      <w:r>
        <w:rPr>
          <w:rFonts w:cs="David" w:hint="cs"/>
          <w:rtl/>
        </w:rPr>
        <w:t>התשמ"ח</w:t>
      </w:r>
      <w:proofErr w:type="spellEnd"/>
      <w:r>
        <w:rPr>
          <w:rFonts w:cs="David" w:hint="cs"/>
          <w:rtl/>
        </w:rPr>
        <w:t>–1988</w:t>
      </w:r>
      <w:r>
        <w:rPr>
          <w:rFonts w:cs="David"/>
          <w:vertAlign w:val="superscript"/>
          <w:rtl/>
        </w:rPr>
        <w:footnoteReference w:id="1"/>
      </w:r>
      <w:r>
        <w:rPr>
          <w:rFonts w:eastAsia="Times New Roman" w:cs="David"/>
          <w:vertAlign w:val="superscript"/>
          <w:lang w:eastAsia="he-IL"/>
        </w:rPr>
        <w:t>[1]</w:t>
      </w:r>
      <w:r>
        <w:rPr>
          <w:rFonts w:cs="David" w:hint="cs"/>
          <w:rtl/>
        </w:rPr>
        <w:t>, אני מודיעה על ביטול ההכרזות הקיימות של חברת תדיראן בע"מ (בפירוק מרצון)</w:t>
      </w:r>
      <w:r>
        <w:rPr>
          <w:rStyle w:val="FootnoteReference"/>
          <w:rFonts w:cs="David"/>
          <w:szCs w:val="20"/>
          <w:rtl/>
        </w:rPr>
        <w:footnoteReference w:id="2"/>
      </w:r>
      <w:r>
        <w:rPr>
          <w:rStyle w:val="FootnoteReference"/>
          <w:rFonts w:eastAsia="Times New Roman" w:cs="David"/>
          <w:szCs w:val="20"/>
          <w:lang w:eastAsia="he-IL"/>
        </w:rPr>
        <w:t>[2]</w:t>
      </w:r>
      <w:r>
        <w:rPr>
          <w:rFonts w:cs="David" w:hint="cs"/>
          <w:rtl/>
        </w:rPr>
        <w:t xml:space="preserve"> כבעלת מונופולין באספקת נורות חשמל (נורות ליבון) וסוללות (תאים ראשוניים), לאחר שבדיקה שנערכה ברשות ההגבלים העסקיים העלתה כי החברה אינה מהוה עוד מונופולין באספקתן. </w:t>
      </w: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תוקף ביטול ההכר</w:t>
      </w:r>
      <w:r>
        <w:rPr>
          <w:rFonts w:cs="David" w:hint="cs"/>
          <w:rtl/>
        </w:rPr>
        <w:t>זה – ממועד הודעתי זו.</w:t>
      </w: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תיק המונופולין שמספרו 412 פתוח לעיון הציבור במשרד רשות ההגבלים העסקיים, רחוב כנפי נשרים 22, ירושלים ובאתר האינטרנט של רשות ההגבלים העסקיים שכתובתו: </w:t>
      </w:r>
      <w:hyperlink r:id="rId6" w:history="1">
        <w:r>
          <w:rPr>
            <w:rStyle w:val="Hyperlink"/>
            <w:rFonts w:hint="cs"/>
            <w:color w:val="800080"/>
          </w:rPr>
          <w:t>www.antitrust.gov.il</w:t>
        </w:r>
      </w:hyperlink>
      <w:r>
        <w:rPr>
          <w:rFonts w:cs="David" w:hint="cs"/>
          <w:rtl/>
        </w:rPr>
        <w:t>.</w:t>
      </w: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overflowPunct w:val="0"/>
        <w:bidi/>
        <w:adjustRightInd w:val="0"/>
        <w:ind w:left="5040" w:firstLine="72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>רונית קן</w:t>
      </w:r>
    </w:p>
    <w:p w:rsidR="00000000" w:rsidRDefault="00AB1EA0">
      <w:pPr>
        <w:tabs>
          <w:tab w:val="left" w:pos="935"/>
          <w:tab w:val="center" w:pos="6038"/>
        </w:tabs>
        <w:overflowPunct w:val="0"/>
        <w:bidi/>
        <w:adjustRightInd w:val="0"/>
        <w:ind w:left="5040"/>
        <w:textAlignment w:val="baseline"/>
        <w:rPr>
          <w:rFonts w:cs="David" w:hint="cs"/>
          <w:rtl/>
        </w:rPr>
      </w:pPr>
      <w:r>
        <w:rPr>
          <w:rFonts w:cs="David" w:hint="cs"/>
          <w:rtl/>
        </w:rPr>
        <w:t xml:space="preserve">הממונה </w:t>
      </w:r>
      <w:r>
        <w:rPr>
          <w:rFonts w:cs="David" w:hint="cs"/>
          <w:rtl/>
        </w:rPr>
        <w:t>על הגבלים עסקיים</w:t>
      </w:r>
    </w:p>
    <w:p w:rsidR="00000000" w:rsidRDefault="00AB1EA0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tabs>
          <w:tab w:val="left" w:pos="935"/>
          <w:tab w:val="center" w:pos="6038"/>
        </w:tabs>
        <w:overflowPunct w:val="0"/>
        <w:bidi/>
        <w:adjustRightInd w:val="0"/>
        <w:textAlignment w:val="baseline"/>
        <w:rPr>
          <w:rFonts w:cs="David" w:hint="cs"/>
          <w:rtl/>
        </w:rPr>
      </w:pPr>
    </w:p>
    <w:p w:rsidR="00000000" w:rsidRDefault="00AB1EA0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 xml:space="preserve">‏‏ט' באב, </w:t>
      </w:r>
      <w:proofErr w:type="spellStart"/>
      <w:r>
        <w:rPr>
          <w:rFonts w:cs="David" w:hint="cs"/>
          <w:sz w:val="22"/>
          <w:rtl/>
        </w:rPr>
        <w:t>התש"ע</w:t>
      </w:r>
      <w:proofErr w:type="spellEnd"/>
    </w:p>
    <w:p w:rsidR="00000000" w:rsidRDefault="00AB1EA0">
      <w:pPr>
        <w:bidi/>
        <w:spacing w:before="120"/>
        <w:rPr>
          <w:rFonts w:cs="David" w:hint="cs"/>
          <w:sz w:val="22"/>
          <w:rtl/>
        </w:rPr>
      </w:pPr>
      <w:r>
        <w:rPr>
          <w:rFonts w:cs="David" w:hint="cs"/>
          <w:sz w:val="22"/>
          <w:rtl/>
        </w:rPr>
        <w:t>‏20 ביולי, 2010</w:t>
      </w:r>
    </w:p>
    <w:p w:rsidR="00000000" w:rsidRDefault="00AB1EA0">
      <w:pPr>
        <w:bidi/>
        <w:spacing w:before="120"/>
        <w:rPr>
          <w:rFonts w:cs="David" w:hint="cs"/>
          <w:sz w:val="22"/>
          <w:rtl/>
        </w:rPr>
      </w:pPr>
    </w:p>
    <w:p w:rsidR="00000000" w:rsidRDefault="00AB1EA0">
      <w:pPr>
        <w:bidi/>
        <w:spacing w:before="120"/>
        <w:rPr>
          <w:rFonts w:cs="David" w:hint="cs"/>
          <w:sz w:val="22"/>
          <w:rtl/>
        </w:rPr>
      </w:pPr>
    </w:p>
    <w:p w:rsidR="00000000" w:rsidRDefault="00AB1EA0">
      <w:pPr>
        <w:bidi/>
        <w:divId w:val="379212690"/>
        <w:rPr>
          <w:rFonts w:eastAsia="Times New Roman" w:hint="cs"/>
          <w:rtl/>
        </w:rPr>
      </w:pPr>
      <w:r>
        <w:rPr>
          <w:rFonts w:eastAsia="Times New Roman" w:hint="cs"/>
          <w:rtl/>
        </w:rPr>
        <w:br w:type="textWrapping" w:clear="all"/>
      </w:r>
    </w:p>
    <w:p w:rsidR="00000000" w:rsidRDefault="00AB1EA0">
      <w:pPr>
        <w:bidi/>
        <w:divId w:val="379212690"/>
        <w:rPr>
          <w:rFonts w:eastAsia="Times New Roman" w:hint="cs"/>
          <w:rtl/>
        </w:rPr>
      </w:pPr>
      <w:r>
        <w:rPr>
          <w:rFonts w:eastAsia="Times New Roman" w:hint="cs"/>
        </w:rPr>
        <w:pict>
          <v:rect id="_x0000_i1025" style="width:141.1pt;height:.75pt" o:hrpct="330" o:hralign="right" o:hrstd="t" o:hr="t" fillcolor="#a0a0a0" stroked="f"/>
        </w:pict>
      </w:r>
    </w:p>
    <w:p w:rsidR="00000000" w:rsidRDefault="00AB1EA0">
      <w:pPr>
        <w:pStyle w:val="Footer"/>
        <w:divId w:val="559295176"/>
        <w:rPr>
          <w:rFonts w:hint="cs"/>
          <w:szCs w:val="14"/>
          <w:rtl/>
        </w:rPr>
      </w:pPr>
    </w:p>
    <w:p w:rsidR="00AB1EA0" w:rsidRDefault="00AB1EA0">
      <w:pPr>
        <w:divId w:val="559295176"/>
        <w:rPr>
          <w:rFonts w:eastAsia="Times New Roman" w:hint="cs"/>
        </w:rPr>
      </w:pPr>
      <w:r>
        <w:rPr>
          <w:rFonts w:eastAsia="Times New Roman" w:hint="cs"/>
        </w:rPr>
        <w:t>\</w:t>
      </w:r>
    </w:p>
    <w:sectPr w:rsidR="00AB1E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EA0" w:rsidRDefault="00AB1EA0">
      <w:r>
        <w:separator/>
      </w:r>
    </w:p>
  </w:endnote>
  <w:endnote w:type="continuationSeparator" w:id="0">
    <w:p w:rsidR="00AB1EA0" w:rsidRDefault="00AB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EA0" w:rsidRDefault="00AB1EA0">
      <w:r>
        <w:separator/>
      </w:r>
    </w:p>
  </w:footnote>
  <w:footnote w:type="continuationSeparator" w:id="0">
    <w:p w:rsidR="00AB1EA0" w:rsidRDefault="00AB1EA0">
      <w:r>
        <w:continuationSeparator/>
      </w:r>
    </w:p>
  </w:footnote>
  <w:footnote w:id="1">
    <w:p w:rsidR="00000000" w:rsidRDefault="00AB1EA0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  <w:rFonts w:cs="David"/>
          <w:rtl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[1]</w:t>
      </w:r>
      <w:r>
        <w:rPr>
          <w:rFonts w:cs="David" w:hint="cs"/>
          <w:sz w:val="20"/>
          <w:szCs w:val="20"/>
          <w:rtl/>
        </w:rPr>
        <w:t xml:space="preserve"> ס"ח </w:t>
      </w:r>
      <w:proofErr w:type="spellStart"/>
      <w:r>
        <w:rPr>
          <w:rFonts w:cs="David" w:hint="cs"/>
          <w:sz w:val="20"/>
          <w:szCs w:val="20"/>
          <w:rtl/>
        </w:rPr>
        <w:t>התשמ"ח</w:t>
      </w:r>
      <w:proofErr w:type="spellEnd"/>
      <w:r>
        <w:rPr>
          <w:rFonts w:cs="David" w:hint="cs"/>
          <w:sz w:val="20"/>
          <w:szCs w:val="20"/>
          <w:rtl/>
        </w:rPr>
        <w:t>, עמ' 128.</w:t>
      </w:r>
    </w:p>
  </w:footnote>
  <w:footnote w:id="2">
    <w:p w:rsidR="00000000" w:rsidRDefault="00AB1EA0">
      <w:pPr>
        <w:pStyle w:val="FootnoteText"/>
        <w:bidi/>
        <w:spacing w:before="0" w:beforeAutospacing="0" w:after="0" w:afterAutospacing="0"/>
        <w:rPr>
          <w:rFonts w:cs="David"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rPr>
          <w:rStyle w:val="FootnoteReference"/>
          <w:rFonts w:eastAsia="Times New Roman" w:cs="David"/>
          <w:sz w:val="20"/>
          <w:szCs w:val="20"/>
          <w:lang w:eastAsia="he-IL"/>
        </w:rPr>
        <w:t>[2]</w:t>
      </w:r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י"פ</w:t>
      </w:r>
      <w:proofErr w:type="spellEnd"/>
      <w:r>
        <w:rPr>
          <w:rFonts w:cs="David" w:hint="cs"/>
          <w:sz w:val="20"/>
          <w:szCs w:val="20"/>
          <w:rtl/>
        </w:rPr>
        <w:t xml:space="preserve"> </w:t>
      </w:r>
      <w:proofErr w:type="spellStart"/>
      <w:r>
        <w:rPr>
          <w:rFonts w:cs="David" w:hint="cs"/>
          <w:sz w:val="20"/>
          <w:szCs w:val="20"/>
          <w:rtl/>
        </w:rPr>
        <w:t>התשמ"ט</w:t>
      </w:r>
      <w:proofErr w:type="spellEnd"/>
      <w:r>
        <w:rPr>
          <w:rFonts w:cs="David" w:hint="cs"/>
          <w:sz w:val="20"/>
          <w:szCs w:val="20"/>
          <w:rtl/>
        </w:rPr>
        <w:t>,  עמ' 4012.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31EE1"/>
    <w:rsid w:val="00631EE1"/>
    <w:rsid w:val="00AB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4E736-701B-47C7-8D00-0F49ABC9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unhideWhenUsed/>
    <w:pPr>
      <w:spacing w:before="100" w:beforeAutospacing="1" w:after="100" w:afterAutospacing="1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eastAsiaTheme="minorEastAsia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before="100" w:beforeAutospacing="1" w:after="100" w:afterAutospacing="1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pPr>
      <w:spacing w:before="100" w:beforeAutospacing="1" w:after="100" w:afterAutospacing="1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31EE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EE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1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titrust.gov.i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 Shafir</dc:creator>
  <cp:keywords/>
  <dc:description/>
  <cp:lastModifiedBy>Melita Shafir</cp:lastModifiedBy>
  <cp:revision>2</cp:revision>
  <dcterms:created xsi:type="dcterms:W3CDTF">2019-01-15T21:33:00Z</dcterms:created>
  <dcterms:modified xsi:type="dcterms:W3CDTF">2019-01-15T21:33:00Z</dcterms:modified>
</cp:coreProperties>
</file>